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8" w:rsidRPr="002A707E" w:rsidRDefault="006225C8" w:rsidP="00E908DF">
      <w:pPr>
        <w:spacing w:line="320" w:lineRule="exact"/>
        <w:jc w:val="left"/>
        <w:rPr>
          <w:rFonts w:ascii="宋体" w:hAnsi="宋体" w:cs="宋体"/>
          <w:b/>
          <w:sz w:val="32"/>
          <w:szCs w:val="32"/>
        </w:rPr>
      </w:pPr>
      <w:r w:rsidRPr="002A707E">
        <w:rPr>
          <w:rFonts w:ascii="宋体" w:hAnsi="宋体" w:cs="宋体" w:hint="eastAsia"/>
          <w:b/>
          <w:sz w:val="32"/>
          <w:szCs w:val="32"/>
        </w:rPr>
        <w:t>附件1：</w:t>
      </w:r>
      <w:r w:rsidR="00E908DF">
        <w:rPr>
          <w:rFonts w:ascii="宋体" w:hAnsi="宋体" w:cs="宋体" w:hint="eastAsia"/>
          <w:b/>
          <w:sz w:val="32"/>
          <w:szCs w:val="32"/>
        </w:rPr>
        <w:t xml:space="preserve">   </w:t>
      </w:r>
      <w:r w:rsidRPr="002A707E">
        <w:rPr>
          <w:rFonts w:ascii="宋体" w:hAnsi="宋体" w:cs="宋体" w:hint="eastAsia"/>
          <w:b/>
          <w:sz w:val="32"/>
          <w:szCs w:val="32"/>
        </w:rPr>
        <w:t>201</w:t>
      </w:r>
      <w:r w:rsidR="000051E3">
        <w:rPr>
          <w:rFonts w:ascii="宋体" w:hAnsi="宋体" w:cs="宋体" w:hint="eastAsia"/>
          <w:b/>
          <w:sz w:val="32"/>
          <w:szCs w:val="32"/>
        </w:rPr>
        <w:t>8</w:t>
      </w:r>
      <w:r w:rsidRPr="002A707E">
        <w:rPr>
          <w:rFonts w:ascii="宋体" w:hAnsi="宋体" w:cs="宋体" w:hint="eastAsia"/>
          <w:b/>
          <w:sz w:val="32"/>
          <w:szCs w:val="32"/>
        </w:rPr>
        <w:t>年</w:t>
      </w:r>
      <w:r w:rsidRPr="002A707E">
        <w:rPr>
          <w:rFonts w:ascii="宋体" w:hAnsi="宋体" w:cs="宋体" w:hint="eastAsia"/>
          <w:b/>
          <w:bCs/>
          <w:sz w:val="32"/>
          <w:szCs w:val="32"/>
        </w:rPr>
        <w:t>台州市温岭中医医疗中心(集团)药品采购共同体</w:t>
      </w:r>
      <w:r w:rsidRPr="002A707E">
        <w:rPr>
          <w:rFonts w:ascii="宋体" w:hAnsi="宋体" w:cs="宋体" w:hint="eastAsia"/>
          <w:b/>
          <w:sz w:val="32"/>
          <w:szCs w:val="32"/>
        </w:rPr>
        <w:t>生产企业产品价格信息表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046"/>
        <w:gridCol w:w="1952"/>
        <w:gridCol w:w="1051"/>
        <w:gridCol w:w="868"/>
        <w:gridCol w:w="633"/>
        <w:gridCol w:w="1045"/>
        <w:gridCol w:w="456"/>
        <w:gridCol w:w="718"/>
        <w:gridCol w:w="634"/>
        <w:gridCol w:w="601"/>
        <w:gridCol w:w="1033"/>
        <w:gridCol w:w="992"/>
        <w:gridCol w:w="993"/>
        <w:gridCol w:w="1134"/>
        <w:gridCol w:w="1214"/>
      </w:tblGrid>
      <w:tr w:rsidR="0076068B" w:rsidRPr="00FC7937" w:rsidTr="0076068B">
        <w:trPr>
          <w:trHeight w:val="1229"/>
        </w:trPr>
        <w:tc>
          <w:tcPr>
            <w:tcW w:w="419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0DC">
              <w:rPr>
                <w:rFonts w:ascii="宋体" w:hAnsi="宋体" w:cs="宋体" w:hint="eastAsia"/>
                <w:sz w:val="10"/>
                <w:szCs w:val="24"/>
              </w:rPr>
              <w:t>清单序号</w:t>
            </w:r>
          </w:p>
        </w:tc>
        <w:tc>
          <w:tcPr>
            <w:tcW w:w="1046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省目录序号</w:t>
            </w:r>
          </w:p>
        </w:tc>
        <w:tc>
          <w:tcPr>
            <w:tcW w:w="1952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通用名</w:t>
            </w:r>
          </w:p>
        </w:tc>
        <w:tc>
          <w:tcPr>
            <w:tcW w:w="1051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商品名</w:t>
            </w:r>
          </w:p>
        </w:tc>
        <w:tc>
          <w:tcPr>
            <w:tcW w:w="868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633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剂型</w:t>
            </w:r>
          </w:p>
        </w:tc>
        <w:tc>
          <w:tcPr>
            <w:tcW w:w="1045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产地</w:t>
            </w:r>
          </w:p>
        </w:tc>
        <w:tc>
          <w:tcPr>
            <w:tcW w:w="456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转换比</w:t>
            </w:r>
          </w:p>
        </w:tc>
        <w:tc>
          <w:tcPr>
            <w:tcW w:w="718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0DC">
              <w:rPr>
                <w:rFonts w:ascii="宋体" w:hAnsi="宋体" w:cs="宋体" w:hint="eastAsia"/>
                <w:sz w:val="18"/>
                <w:szCs w:val="24"/>
              </w:rPr>
              <w:t>包装单位</w:t>
            </w:r>
          </w:p>
        </w:tc>
        <w:tc>
          <w:tcPr>
            <w:tcW w:w="634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包装材质</w:t>
            </w:r>
          </w:p>
        </w:tc>
        <w:tc>
          <w:tcPr>
            <w:tcW w:w="601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0DC">
              <w:rPr>
                <w:rFonts w:ascii="宋体" w:hAnsi="宋体" w:cs="宋体" w:hint="eastAsia"/>
                <w:sz w:val="18"/>
                <w:szCs w:val="24"/>
              </w:rPr>
              <w:t>质量层次</w:t>
            </w:r>
          </w:p>
        </w:tc>
        <w:tc>
          <w:tcPr>
            <w:tcW w:w="1033" w:type="dxa"/>
            <w:vAlign w:val="center"/>
          </w:tcPr>
          <w:p w:rsidR="006225C8" w:rsidRPr="006225C8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shd w:val="clear" w:color="FFFFFF" w:fill="D9D9D9"/>
              </w:rPr>
            </w:pPr>
            <w:r w:rsidRPr="003A50DC">
              <w:rPr>
                <w:rFonts w:ascii="宋体" w:hAnsi="宋体" w:cs="宋体" w:hint="eastAsia"/>
                <w:sz w:val="16"/>
                <w:szCs w:val="18"/>
              </w:rPr>
              <w:t>浙江省药械采购平台联动价</w:t>
            </w:r>
          </w:p>
        </w:tc>
        <w:tc>
          <w:tcPr>
            <w:tcW w:w="992" w:type="dxa"/>
            <w:vAlign w:val="center"/>
          </w:tcPr>
          <w:p w:rsidR="006225C8" w:rsidRPr="006225C8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24"/>
                <w:shd w:val="clear" w:color="FFFFFF" w:fill="D9D9D9"/>
              </w:rPr>
            </w:pPr>
            <w:r w:rsidRPr="003A50DC">
              <w:rPr>
                <w:rFonts w:ascii="宋体" w:hAnsi="宋体" w:cs="宋体" w:hint="eastAsia"/>
                <w:sz w:val="15"/>
                <w:szCs w:val="18"/>
              </w:rPr>
              <w:t>浙江省药械采购平台医保支付价</w:t>
            </w:r>
          </w:p>
        </w:tc>
        <w:tc>
          <w:tcPr>
            <w:tcW w:w="993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全国最低价</w:t>
            </w:r>
          </w:p>
        </w:tc>
        <w:tc>
          <w:tcPr>
            <w:tcW w:w="1134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 w:val="24"/>
                <w:szCs w:val="24"/>
              </w:rPr>
              <w:t>浙江省最低价</w:t>
            </w:r>
          </w:p>
        </w:tc>
        <w:tc>
          <w:tcPr>
            <w:tcW w:w="1214" w:type="dxa"/>
            <w:vAlign w:val="center"/>
          </w:tcPr>
          <w:p w:rsidR="006225C8" w:rsidRPr="00082E5F" w:rsidRDefault="006225C8" w:rsidP="006225C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2E5F">
              <w:rPr>
                <w:rFonts w:ascii="宋体" w:hAnsi="宋体" w:cs="宋体" w:hint="eastAsia"/>
                <w:szCs w:val="21"/>
              </w:rPr>
              <w:t>本次投标(成交价)报价</w:t>
            </w:r>
          </w:p>
        </w:tc>
      </w:tr>
      <w:tr w:rsidR="0076068B" w:rsidRPr="00FC7937" w:rsidTr="0076068B">
        <w:trPr>
          <w:trHeight w:val="419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26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17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25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17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23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068B" w:rsidRPr="00FC7937" w:rsidTr="0076068B">
        <w:trPr>
          <w:trHeight w:val="429"/>
        </w:trPr>
        <w:tc>
          <w:tcPr>
            <w:tcW w:w="419" w:type="dxa"/>
            <w:vAlign w:val="center"/>
          </w:tcPr>
          <w:p w:rsidR="006225C8" w:rsidRPr="00FC7937" w:rsidRDefault="006225C8" w:rsidP="00A8164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C7937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 w:rsidR="006225C8" w:rsidRPr="00FC7937" w:rsidRDefault="006225C8" w:rsidP="00F0238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225C8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 xml:space="preserve">注: </w:t>
      </w:r>
    </w:p>
    <w:p w:rsidR="006225C8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</w:t>
      </w:r>
      <w:r w:rsidRPr="00FC7937">
        <w:rPr>
          <w:rFonts w:ascii="宋体" w:hAnsi="宋体" w:cs="宋体" w:hint="eastAsia"/>
          <w:sz w:val="24"/>
          <w:szCs w:val="24"/>
        </w:rPr>
        <w:t>价格单位为元，准确到小数点后2位</w:t>
      </w:r>
      <w:r>
        <w:rPr>
          <w:rFonts w:ascii="宋体" w:hAnsi="宋体" w:cs="宋体" w:hint="eastAsia"/>
          <w:sz w:val="24"/>
          <w:szCs w:val="24"/>
        </w:rPr>
        <w:t>(</w:t>
      </w:r>
      <w:r w:rsidRPr="00FC7937">
        <w:rPr>
          <w:rFonts w:ascii="宋体" w:hAnsi="宋体" w:cs="宋体" w:hint="eastAsia"/>
          <w:sz w:val="24"/>
          <w:szCs w:val="24"/>
        </w:rPr>
        <w:t>即分</w:t>
      </w:r>
      <w:r>
        <w:rPr>
          <w:rFonts w:ascii="宋体" w:hAnsi="宋体" w:cs="宋体" w:hint="eastAsia"/>
          <w:sz w:val="24"/>
          <w:szCs w:val="24"/>
        </w:rPr>
        <w:t>)</w:t>
      </w:r>
      <w:r w:rsidRPr="00FC7937">
        <w:rPr>
          <w:rFonts w:ascii="宋体" w:hAnsi="宋体" w:cs="宋体" w:hint="eastAsia"/>
          <w:sz w:val="24"/>
          <w:szCs w:val="24"/>
        </w:rPr>
        <w:t>。</w:t>
      </w:r>
    </w:p>
    <w:p w:rsidR="006225C8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</w:t>
      </w:r>
      <w:r w:rsidRPr="00FC7937">
        <w:rPr>
          <w:rFonts w:ascii="宋体" w:hAnsi="宋体" w:cs="宋体" w:hint="eastAsia"/>
          <w:sz w:val="24"/>
          <w:szCs w:val="24"/>
        </w:rPr>
        <w:t>所填价格需</w:t>
      </w:r>
      <w:r>
        <w:rPr>
          <w:rFonts w:ascii="宋体" w:hAnsi="宋体" w:cs="宋体" w:hint="eastAsia"/>
          <w:sz w:val="24"/>
          <w:szCs w:val="24"/>
        </w:rPr>
        <w:t>以</w:t>
      </w:r>
      <w:r w:rsidRPr="00FC7937">
        <w:rPr>
          <w:rFonts w:ascii="宋体" w:hAnsi="宋体" w:cs="宋体" w:hint="eastAsia"/>
          <w:sz w:val="24"/>
          <w:szCs w:val="24"/>
        </w:rPr>
        <w:t>“填表”当天的最新价格</w:t>
      </w:r>
      <w:r>
        <w:rPr>
          <w:rFonts w:ascii="宋体" w:hAnsi="宋体" w:cs="宋体" w:hint="eastAsia"/>
          <w:sz w:val="24"/>
          <w:szCs w:val="24"/>
        </w:rPr>
        <w:t>为准，</w:t>
      </w:r>
      <w:r w:rsidRPr="00FC7937">
        <w:rPr>
          <w:rFonts w:ascii="宋体" w:hAnsi="宋体" w:cs="宋体" w:hint="eastAsia"/>
          <w:sz w:val="24"/>
          <w:szCs w:val="24"/>
        </w:rPr>
        <w:t>如实填写。</w:t>
      </w:r>
    </w:p>
    <w:p w:rsidR="006225C8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.</w:t>
      </w:r>
      <w:r w:rsidRPr="00FC7937">
        <w:rPr>
          <w:rFonts w:ascii="宋体" w:hAnsi="宋体" w:cs="宋体" w:hint="eastAsia"/>
          <w:sz w:val="24"/>
          <w:szCs w:val="24"/>
        </w:rPr>
        <w:t>省目录序号为省采购平台上的药品“产品I</w:t>
      </w:r>
      <w:r>
        <w:rPr>
          <w:rFonts w:ascii="宋体" w:hAnsi="宋体" w:cs="宋体" w:hint="eastAsia"/>
          <w:sz w:val="24"/>
          <w:szCs w:val="24"/>
        </w:rPr>
        <w:t>d”</w:t>
      </w:r>
      <w:r w:rsidRPr="00FC7937">
        <w:rPr>
          <w:rFonts w:ascii="宋体" w:hAnsi="宋体" w:cs="宋体" w:hint="eastAsia"/>
          <w:sz w:val="24"/>
          <w:szCs w:val="24"/>
        </w:rPr>
        <w:t>号码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225C8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.</w:t>
      </w:r>
      <w:r w:rsidRPr="00FC7937">
        <w:rPr>
          <w:rFonts w:ascii="宋体" w:hAnsi="宋体" w:cs="宋体" w:hint="eastAsia"/>
          <w:sz w:val="24"/>
          <w:szCs w:val="24"/>
        </w:rPr>
        <w:t>质量层次按照2014年省采购平台标准，质量层次只填写1、2或3</w:t>
      </w:r>
      <w:r>
        <w:rPr>
          <w:rFonts w:ascii="宋体" w:hAnsi="宋体" w:cs="宋体" w:hint="eastAsia"/>
          <w:sz w:val="24"/>
          <w:szCs w:val="24"/>
        </w:rPr>
        <w:t>(</w:t>
      </w:r>
      <w:r w:rsidRPr="00FC7937">
        <w:rPr>
          <w:rFonts w:ascii="宋体" w:hAnsi="宋体" w:cs="宋体" w:hint="eastAsia"/>
          <w:sz w:val="24"/>
          <w:szCs w:val="24"/>
        </w:rPr>
        <w:t>请参考本表格后方的</w:t>
      </w:r>
      <w:r>
        <w:rPr>
          <w:rFonts w:ascii="宋体" w:hAnsi="宋体" w:cs="宋体" w:hint="eastAsia"/>
          <w:sz w:val="24"/>
          <w:szCs w:val="24"/>
        </w:rPr>
        <w:t>“</w:t>
      </w:r>
      <w:r w:rsidRPr="00FC7937">
        <w:rPr>
          <w:rFonts w:ascii="宋体" w:hAnsi="宋体" w:cs="宋体" w:hint="eastAsia"/>
          <w:sz w:val="24"/>
          <w:szCs w:val="24"/>
        </w:rPr>
        <w:t>分层次说明</w:t>
      </w:r>
      <w:r>
        <w:rPr>
          <w:rFonts w:ascii="宋体" w:hAnsi="宋体" w:cs="宋体" w:hint="eastAsia"/>
          <w:sz w:val="24"/>
          <w:szCs w:val="24"/>
        </w:rPr>
        <w:t>”并按要求</w:t>
      </w:r>
      <w:r w:rsidRPr="00FC7937">
        <w:rPr>
          <w:rFonts w:ascii="宋体" w:hAnsi="宋体" w:cs="宋体" w:hint="eastAsia"/>
          <w:sz w:val="24"/>
          <w:szCs w:val="24"/>
        </w:rPr>
        <w:t>提供</w:t>
      </w:r>
      <w:r>
        <w:rPr>
          <w:rFonts w:ascii="宋体" w:hAnsi="宋体" w:cs="宋体" w:hint="eastAsia"/>
          <w:sz w:val="24"/>
          <w:szCs w:val="24"/>
        </w:rPr>
        <w:t>第1和第2层次相应的证明</w:t>
      </w:r>
      <w:r w:rsidRPr="00FC7937">
        <w:rPr>
          <w:rFonts w:ascii="宋体" w:hAnsi="宋体" w:cs="宋体" w:hint="eastAsia"/>
          <w:sz w:val="24"/>
          <w:szCs w:val="24"/>
        </w:rPr>
        <w:t>材料</w:t>
      </w:r>
      <w:r>
        <w:rPr>
          <w:rFonts w:ascii="宋体" w:hAnsi="宋体" w:cs="宋体" w:hint="eastAsia"/>
          <w:sz w:val="24"/>
          <w:szCs w:val="24"/>
        </w:rPr>
        <w:t>)</w:t>
      </w:r>
      <w:r w:rsidRPr="00FC7937">
        <w:rPr>
          <w:rFonts w:ascii="宋体" w:hAnsi="宋体" w:cs="宋体" w:hint="eastAsia"/>
          <w:sz w:val="24"/>
          <w:szCs w:val="24"/>
        </w:rPr>
        <w:t>。</w:t>
      </w:r>
    </w:p>
    <w:p w:rsidR="006225C8" w:rsidRPr="00FC7937" w:rsidRDefault="006225C8" w:rsidP="00E908D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 w:rsidRPr="00FC7937">
        <w:rPr>
          <w:rFonts w:ascii="宋体" w:hAnsi="宋体" w:cs="宋体" w:hint="eastAsia"/>
          <w:sz w:val="24"/>
          <w:szCs w:val="24"/>
        </w:rPr>
        <w:t>全国最低价和全省最低价指</w:t>
      </w:r>
      <w:r>
        <w:rPr>
          <w:rFonts w:ascii="宋体" w:hAnsi="宋体" w:cs="宋体" w:hint="eastAsia"/>
          <w:sz w:val="24"/>
          <w:szCs w:val="24"/>
        </w:rPr>
        <w:t>相应全国范围内和全浙江省范围内</w:t>
      </w:r>
      <w:r w:rsidRPr="00FC7937">
        <w:rPr>
          <w:rFonts w:ascii="宋体" w:hAnsi="宋体" w:cs="宋体" w:hint="eastAsia"/>
          <w:sz w:val="24"/>
          <w:szCs w:val="24"/>
        </w:rPr>
        <w:t>各药企与各药品采购共同体</w:t>
      </w:r>
      <w:r>
        <w:rPr>
          <w:rFonts w:ascii="宋体" w:hAnsi="宋体" w:cs="宋体" w:hint="eastAsia"/>
          <w:sz w:val="24"/>
          <w:szCs w:val="24"/>
        </w:rPr>
        <w:t>(</w:t>
      </w:r>
      <w:r w:rsidRPr="00FC7937">
        <w:rPr>
          <w:rFonts w:ascii="宋体" w:hAnsi="宋体" w:cs="宋体" w:hint="eastAsia"/>
          <w:sz w:val="24"/>
          <w:szCs w:val="24"/>
        </w:rPr>
        <w:t>联合体</w:t>
      </w:r>
      <w:r>
        <w:rPr>
          <w:rFonts w:ascii="宋体" w:hAnsi="宋体" w:cs="宋体" w:hint="eastAsia"/>
          <w:sz w:val="24"/>
          <w:szCs w:val="24"/>
        </w:rPr>
        <w:t>)</w:t>
      </w:r>
      <w:r w:rsidRPr="00FC7937">
        <w:rPr>
          <w:rFonts w:ascii="宋体" w:hAnsi="宋体" w:cs="宋体" w:hint="eastAsia"/>
          <w:sz w:val="24"/>
          <w:szCs w:val="24"/>
        </w:rPr>
        <w:t>成交确认的最低价。</w:t>
      </w:r>
    </w:p>
    <w:p w:rsidR="006225C8" w:rsidRPr="00FC7937" w:rsidRDefault="006225C8" w:rsidP="006225C8">
      <w:pPr>
        <w:spacing w:line="360" w:lineRule="auto"/>
        <w:rPr>
          <w:rFonts w:ascii="宋体" w:hAnsi="宋体" w:cs="宋体"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>生产企业</w:t>
      </w:r>
      <w:r>
        <w:rPr>
          <w:rFonts w:ascii="宋体" w:hAnsi="宋体" w:cs="宋体" w:hint="eastAsia"/>
          <w:sz w:val="24"/>
          <w:szCs w:val="24"/>
        </w:rPr>
        <w:t>(</w:t>
      </w:r>
      <w:r w:rsidRPr="00FC7937"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 w:hint="eastAsia"/>
          <w:sz w:val="24"/>
          <w:szCs w:val="24"/>
        </w:rPr>
        <w:t>)</w:t>
      </w:r>
      <w:r w:rsidRPr="00FC7937">
        <w:rPr>
          <w:rFonts w:ascii="宋体" w:hAnsi="宋体" w:cs="宋体" w:hint="eastAsia"/>
          <w:sz w:val="24"/>
          <w:szCs w:val="24"/>
        </w:rPr>
        <w:t xml:space="preserve">：             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FC7937">
        <w:rPr>
          <w:rFonts w:ascii="宋体" w:hAnsi="宋体" w:cs="宋体" w:hint="eastAsia"/>
          <w:sz w:val="24"/>
          <w:szCs w:val="24"/>
        </w:rPr>
        <w:t xml:space="preserve">   </w:t>
      </w:r>
      <w:r w:rsidR="004D33B2">
        <w:rPr>
          <w:rFonts w:ascii="宋体" w:hAnsi="宋体" w:cs="宋体" w:hint="eastAsia"/>
          <w:sz w:val="24"/>
          <w:szCs w:val="24"/>
        </w:rPr>
        <w:t xml:space="preserve">                                 </w:t>
      </w:r>
      <w:r w:rsidRPr="00FC7937">
        <w:rPr>
          <w:rFonts w:ascii="宋体" w:hAnsi="宋体" w:cs="宋体" w:hint="eastAsia"/>
          <w:sz w:val="24"/>
          <w:szCs w:val="24"/>
        </w:rPr>
        <w:t xml:space="preserve"> 法定代表人</w:t>
      </w:r>
      <w:r>
        <w:rPr>
          <w:rFonts w:ascii="宋体" w:hAnsi="宋体" w:cs="宋体" w:hint="eastAsia"/>
          <w:sz w:val="24"/>
          <w:szCs w:val="24"/>
        </w:rPr>
        <w:t>(</w:t>
      </w:r>
      <w:r w:rsidRPr="00FC7937">
        <w:rPr>
          <w:rFonts w:ascii="宋体" w:hAnsi="宋体" w:cs="宋体" w:hint="eastAsia"/>
          <w:sz w:val="24"/>
          <w:szCs w:val="24"/>
        </w:rPr>
        <w:t>签名或盖章</w:t>
      </w:r>
      <w:r>
        <w:rPr>
          <w:rFonts w:ascii="宋体" w:hAnsi="宋体" w:cs="宋体" w:hint="eastAsia"/>
          <w:sz w:val="24"/>
          <w:szCs w:val="24"/>
        </w:rPr>
        <w:t>)</w:t>
      </w:r>
      <w:r w:rsidRPr="00FC7937">
        <w:rPr>
          <w:rFonts w:ascii="宋体" w:hAnsi="宋体" w:cs="宋体" w:hint="eastAsia"/>
          <w:sz w:val="24"/>
          <w:szCs w:val="24"/>
        </w:rPr>
        <w:t xml:space="preserve">：    </w:t>
      </w:r>
    </w:p>
    <w:p w:rsidR="006225C8" w:rsidRPr="00FC7937" w:rsidRDefault="006225C8" w:rsidP="006225C8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FC7937">
        <w:rPr>
          <w:rFonts w:ascii="宋体" w:hAnsi="宋体" w:cs="宋体" w:hint="eastAsia"/>
          <w:sz w:val="24"/>
          <w:szCs w:val="24"/>
        </w:rPr>
        <w:t xml:space="preserve">联系方式：                               </w:t>
      </w:r>
      <w:r w:rsidR="004D33B2">
        <w:rPr>
          <w:rFonts w:ascii="宋体" w:hAnsi="宋体" w:cs="宋体" w:hint="eastAsia"/>
          <w:sz w:val="24"/>
          <w:szCs w:val="24"/>
        </w:rPr>
        <w:t xml:space="preserve">                                   </w:t>
      </w:r>
      <w:r w:rsidRPr="00FC7937">
        <w:rPr>
          <w:rFonts w:ascii="宋体" w:hAnsi="宋体" w:cs="宋体" w:hint="eastAsia"/>
          <w:sz w:val="24"/>
          <w:szCs w:val="24"/>
        </w:rPr>
        <w:t xml:space="preserve"> 年    月    日</w:t>
      </w:r>
    </w:p>
    <w:p w:rsidR="006225C8" w:rsidRPr="002A707E" w:rsidRDefault="006225C8" w:rsidP="006225C8">
      <w:pPr>
        <w:spacing w:line="360" w:lineRule="auto"/>
        <w:jc w:val="center"/>
        <w:rPr>
          <w:sz w:val="32"/>
          <w:szCs w:val="32"/>
        </w:rPr>
      </w:pPr>
      <w:r w:rsidRPr="00FC7937">
        <w:rPr>
          <w:sz w:val="24"/>
          <w:szCs w:val="24"/>
        </w:rPr>
        <w:br w:type="page"/>
      </w:r>
      <w:r w:rsidRPr="002A707E">
        <w:rPr>
          <w:rFonts w:hint="eastAsia"/>
          <w:b/>
          <w:bCs/>
          <w:sz w:val="32"/>
          <w:szCs w:val="32"/>
        </w:rPr>
        <w:lastRenderedPageBreak/>
        <w:t>浙江省</w:t>
      </w:r>
      <w:r w:rsidRPr="002A707E">
        <w:rPr>
          <w:rFonts w:hint="eastAsia"/>
          <w:b/>
          <w:bCs/>
          <w:sz w:val="32"/>
          <w:szCs w:val="32"/>
        </w:rPr>
        <w:t>2014</w:t>
      </w:r>
      <w:r w:rsidRPr="002A707E">
        <w:rPr>
          <w:rFonts w:hint="eastAsia"/>
          <w:b/>
          <w:bCs/>
          <w:sz w:val="32"/>
          <w:szCs w:val="32"/>
        </w:rPr>
        <w:t>年药品集中采购</w:t>
      </w:r>
      <w:r w:rsidRPr="002A707E">
        <w:rPr>
          <w:rFonts w:hint="eastAsia"/>
          <w:b/>
          <w:bCs/>
          <w:sz w:val="32"/>
          <w:szCs w:val="32"/>
        </w:rPr>
        <w:t>(</w:t>
      </w:r>
      <w:r w:rsidRPr="002A707E">
        <w:rPr>
          <w:rFonts w:hint="eastAsia"/>
          <w:b/>
          <w:bCs/>
          <w:sz w:val="32"/>
          <w:szCs w:val="32"/>
        </w:rPr>
        <w:t>第一批</w:t>
      </w:r>
      <w:r w:rsidRPr="002A707E">
        <w:rPr>
          <w:rFonts w:hint="eastAsia"/>
          <w:b/>
          <w:bCs/>
          <w:sz w:val="32"/>
          <w:szCs w:val="32"/>
        </w:rPr>
        <w:t>)</w:t>
      </w:r>
      <w:r w:rsidRPr="002A707E">
        <w:rPr>
          <w:rFonts w:hint="eastAsia"/>
          <w:b/>
          <w:bCs/>
          <w:sz w:val="32"/>
          <w:szCs w:val="32"/>
        </w:rPr>
        <w:t>质量层次的分类方法及说明</w:t>
      </w:r>
    </w:p>
    <w:p w:rsidR="006225C8" w:rsidRPr="00FC7937" w:rsidRDefault="006225C8" w:rsidP="006225C8">
      <w:pPr>
        <w:spacing w:line="360" w:lineRule="auto"/>
        <w:rPr>
          <w:sz w:val="24"/>
          <w:szCs w:val="24"/>
        </w:rPr>
      </w:pPr>
    </w:p>
    <w:p w:rsidR="006225C8" w:rsidRPr="00FC7937" w:rsidRDefault="006225C8" w:rsidP="006225C8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>一、质量层次的分类</w:t>
      </w:r>
      <w:r w:rsidRPr="00FC7937">
        <w:rPr>
          <w:rStyle w:val="apple-converted-space"/>
          <w:rFonts w:hint="eastAsia"/>
          <w:sz w:val="24"/>
          <w:szCs w:val="24"/>
        </w:rPr>
        <w:t> </w:t>
      </w:r>
    </w:p>
    <w:p w:rsidR="006225C8" w:rsidRPr="00FC7937" w:rsidRDefault="006225C8" w:rsidP="006225C8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 xml:space="preserve">　　第一质量层次：专利产品、国家一类新药、国家保密处方中成药产品、获得国家级奖项的产品；</w:t>
      </w:r>
      <w:r w:rsidRPr="00FC7937">
        <w:rPr>
          <w:rStyle w:val="apple-converted-space"/>
          <w:rFonts w:hint="eastAsia"/>
          <w:sz w:val="24"/>
          <w:szCs w:val="24"/>
        </w:rPr>
        <w:t> </w:t>
      </w:r>
      <w:r w:rsidRPr="00FC7937">
        <w:rPr>
          <w:rFonts w:hint="eastAsia"/>
          <w:sz w:val="24"/>
          <w:szCs w:val="24"/>
        </w:rPr>
        <w:br/>
        <w:t xml:space="preserve">    </w:t>
      </w:r>
      <w:r w:rsidRPr="00FC7937">
        <w:rPr>
          <w:rFonts w:hint="eastAsia"/>
          <w:sz w:val="24"/>
          <w:szCs w:val="24"/>
        </w:rPr>
        <w:t>第二质量层次：原研制产品、单独定价产品、优质优价中成药产品；</w:t>
      </w:r>
      <w:r w:rsidRPr="00FC7937">
        <w:rPr>
          <w:rStyle w:val="apple-converted-space"/>
          <w:rFonts w:hint="eastAsia"/>
          <w:sz w:val="24"/>
          <w:szCs w:val="24"/>
        </w:rPr>
        <w:t> </w:t>
      </w:r>
      <w:r w:rsidRPr="00FC7937">
        <w:rPr>
          <w:rFonts w:hint="eastAsia"/>
          <w:sz w:val="24"/>
          <w:szCs w:val="24"/>
        </w:rPr>
        <w:br/>
        <w:t xml:space="preserve">    </w:t>
      </w:r>
      <w:r w:rsidRPr="00FC7937">
        <w:rPr>
          <w:rFonts w:hint="eastAsia"/>
          <w:sz w:val="24"/>
          <w:szCs w:val="24"/>
        </w:rPr>
        <w:t>第三质量层次：其它类产品。</w:t>
      </w:r>
      <w:r w:rsidRPr="00FC7937">
        <w:rPr>
          <w:rStyle w:val="apple-converted-space"/>
          <w:rFonts w:hint="eastAsia"/>
          <w:sz w:val="24"/>
          <w:szCs w:val="24"/>
        </w:rPr>
        <w:t> </w:t>
      </w:r>
      <w:r w:rsidRPr="00FC7937">
        <w:rPr>
          <w:rFonts w:hint="eastAsia"/>
          <w:sz w:val="24"/>
          <w:szCs w:val="24"/>
        </w:rPr>
        <w:br/>
      </w:r>
      <w:r w:rsidRPr="00FC7937">
        <w:rPr>
          <w:rFonts w:hint="eastAsia"/>
          <w:sz w:val="24"/>
          <w:szCs w:val="24"/>
        </w:rPr>
        <w:t>二、说明：获得国家级奖项的产品：指获得国家自然科学二等奖、国家技术发明二等奖或国家科技进步二等奖及以上奖项的产品。</w:t>
      </w:r>
    </w:p>
    <w:p w:rsidR="006225C8" w:rsidRPr="00FC7937" w:rsidRDefault="006225C8" w:rsidP="006225C8">
      <w:pPr>
        <w:spacing w:line="360" w:lineRule="auto"/>
        <w:rPr>
          <w:rStyle w:val="apple-converted-space"/>
          <w:sz w:val="24"/>
          <w:szCs w:val="24"/>
        </w:rPr>
      </w:pPr>
      <w:r w:rsidRPr="00FC793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FC7937">
        <w:rPr>
          <w:rFonts w:hint="eastAsia"/>
          <w:sz w:val="24"/>
          <w:szCs w:val="24"/>
        </w:rPr>
        <w:t>依据国务院或国家科技技术委员会</w:t>
      </w:r>
      <w:r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国家科学技术部</w:t>
      </w:r>
      <w:r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颁发的国家自然科学、国家技术发明或科技进步奖证书原件或清晰彩色复印件进行认定。</w:t>
      </w:r>
      <w:r w:rsidRPr="00FC7937">
        <w:rPr>
          <w:rStyle w:val="apple-converted-space"/>
          <w:rFonts w:hint="eastAsia"/>
          <w:sz w:val="24"/>
          <w:szCs w:val="24"/>
        </w:rPr>
        <w:t> </w:t>
      </w:r>
    </w:p>
    <w:p w:rsidR="006225C8" w:rsidRPr="00FC7937" w:rsidRDefault="006225C8" w:rsidP="006225C8">
      <w:pPr>
        <w:spacing w:line="360" w:lineRule="auto"/>
        <w:rPr>
          <w:rStyle w:val="apple-converted-space"/>
          <w:sz w:val="24"/>
          <w:szCs w:val="24"/>
        </w:rPr>
      </w:pPr>
      <w:r w:rsidRPr="00FC79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FC7937">
        <w:rPr>
          <w:rFonts w:hint="eastAsia"/>
          <w:sz w:val="24"/>
          <w:szCs w:val="24"/>
        </w:rPr>
        <w:t>所获奖项应与投标药品质量密切相关，不包括获得上述奖项的通用技术和其它通用研究成果的药品。</w:t>
      </w:r>
      <w:r w:rsidRPr="00FC7937">
        <w:rPr>
          <w:rStyle w:val="apple-converted-space"/>
          <w:rFonts w:hint="eastAsia"/>
          <w:sz w:val="24"/>
          <w:szCs w:val="24"/>
        </w:rPr>
        <w:t> </w:t>
      </w:r>
    </w:p>
    <w:p w:rsidR="00D40DD4" w:rsidRDefault="006225C8" w:rsidP="006225C8">
      <w:r w:rsidRPr="00FC793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FC7937">
        <w:rPr>
          <w:rFonts w:hint="eastAsia"/>
          <w:sz w:val="24"/>
          <w:szCs w:val="24"/>
        </w:rPr>
        <w:t>生产企业变更的不予认可</w:t>
      </w:r>
      <w:r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不包括厂家更名</w:t>
      </w:r>
      <w:r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。</w:t>
      </w:r>
    </w:p>
    <w:sectPr w:rsidR="00D40DD4" w:rsidSect="00E908D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71" w:rsidRDefault="001A7471" w:rsidP="006225C8">
      <w:r>
        <w:separator/>
      </w:r>
    </w:p>
  </w:endnote>
  <w:endnote w:type="continuationSeparator" w:id="1">
    <w:p w:rsidR="001A7471" w:rsidRDefault="001A7471" w:rsidP="0062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71" w:rsidRDefault="001A7471" w:rsidP="006225C8">
      <w:r>
        <w:separator/>
      </w:r>
    </w:p>
  </w:footnote>
  <w:footnote w:type="continuationSeparator" w:id="1">
    <w:p w:rsidR="001A7471" w:rsidRDefault="001A7471" w:rsidP="00622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C8"/>
    <w:rsid w:val="000051E3"/>
    <w:rsid w:val="001A7471"/>
    <w:rsid w:val="00342702"/>
    <w:rsid w:val="003A50DC"/>
    <w:rsid w:val="0042416B"/>
    <w:rsid w:val="0042678E"/>
    <w:rsid w:val="004D33B2"/>
    <w:rsid w:val="006225C8"/>
    <w:rsid w:val="0076068B"/>
    <w:rsid w:val="00946B8B"/>
    <w:rsid w:val="00A8164D"/>
    <w:rsid w:val="00BB0BDD"/>
    <w:rsid w:val="00C61EC6"/>
    <w:rsid w:val="00D17FA0"/>
    <w:rsid w:val="00D40DD4"/>
    <w:rsid w:val="00E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5C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2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Company>Micorosoft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User</cp:lastModifiedBy>
  <cp:revision>13</cp:revision>
  <dcterms:created xsi:type="dcterms:W3CDTF">2017-07-26T23:29:00Z</dcterms:created>
  <dcterms:modified xsi:type="dcterms:W3CDTF">2018-04-18T06:19:00Z</dcterms:modified>
</cp:coreProperties>
</file>